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166" w:rsidRPr="002A531B" w:rsidRDefault="004C4166" w:rsidP="00CE4FDE">
      <w:pPr>
        <w:jc w:val="both"/>
        <w:rPr>
          <w:rFonts w:asciiTheme="majorHAnsi" w:hAnsiTheme="majorHAnsi"/>
          <w:b/>
          <w:sz w:val="32"/>
          <w:szCs w:val="32"/>
        </w:rPr>
      </w:pPr>
      <w:r w:rsidRPr="002A531B">
        <w:rPr>
          <w:rFonts w:asciiTheme="majorHAnsi" w:hAnsiTheme="majorHAnsi"/>
          <w:b/>
          <w:sz w:val="32"/>
          <w:szCs w:val="32"/>
        </w:rPr>
        <w:t xml:space="preserve">Los alcaldes del PRC secundan </w:t>
      </w:r>
      <w:r w:rsidR="002A531B">
        <w:rPr>
          <w:rFonts w:asciiTheme="majorHAnsi" w:hAnsiTheme="majorHAnsi"/>
          <w:b/>
          <w:sz w:val="32"/>
          <w:szCs w:val="32"/>
        </w:rPr>
        <w:t xml:space="preserve">a </w:t>
      </w:r>
      <w:r w:rsidRPr="002A531B">
        <w:rPr>
          <w:rFonts w:asciiTheme="majorHAnsi" w:hAnsiTheme="majorHAnsi"/>
          <w:b/>
          <w:sz w:val="32"/>
          <w:szCs w:val="32"/>
        </w:rPr>
        <w:t>Revilla y acuerdan abandonar la FMC por incumplir sus fines y actuar como “órgano de apoyo al Gobierno”</w:t>
      </w:r>
    </w:p>
    <w:p w:rsidR="0035498C" w:rsidRPr="002A531B" w:rsidRDefault="004C4166" w:rsidP="00CE4FDE">
      <w:pPr>
        <w:jc w:val="both"/>
        <w:rPr>
          <w:rFonts w:asciiTheme="majorHAnsi" w:hAnsiTheme="majorHAnsi"/>
          <w:b/>
          <w:i/>
          <w:sz w:val="24"/>
          <w:szCs w:val="24"/>
        </w:rPr>
      </w:pPr>
      <w:r w:rsidRPr="002A531B">
        <w:rPr>
          <w:rFonts w:asciiTheme="majorHAnsi" w:hAnsiTheme="majorHAnsi"/>
          <w:b/>
          <w:i/>
          <w:sz w:val="24"/>
          <w:szCs w:val="24"/>
        </w:rPr>
        <w:t>Intentarán que prevalezca la defensa de los intereses municipales hasta que su salida sea efectiva el 31 de diciembre</w:t>
      </w:r>
    </w:p>
    <w:p w:rsidR="004C4166" w:rsidRPr="002A531B" w:rsidRDefault="004C4166" w:rsidP="002A531B">
      <w:pPr>
        <w:jc w:val="right"/>
        <w:rPr>
          <w:rFonts w:asciiTheme="majorHAnsi" w:hAnsiTheme="majorHAnsi"/>
          <w:i/>
          <w:sz w:val="18"/>
          <w:szCs w:val="18"/>
        </w:rPr>
      </w:pPr>
      <w:r w:rsidRPr="002A531B">
        <w:rPr>
          <w:rFonts w:asciiTheme="majorHAnsi" w:hAnsiTheme="majorHAnsi"/>
          <w:i/>
          <w:sz w:val="18"/>
          <w:szCs w:val="18"/>
        </w:rPr>
        <w:t>Santander, 30 de enero de 2013</w:t>
      </w:r>
    </w:p>
    <w:p w:rsidR="004C4166" w:rsidRDefault="002A531B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Los 30 alcaldes del Partido Regionalista de Cantabria han secundado esta tarde por unanimidad la propuesta del secretario general, Miguel Ángel Revilla, </w:t>
      </w:r>
      <w:r w:rsidR="006A2F2B">
        <w:rPr>
          <w:rFonts w:asciiTheme="majorHAnsi" w:hAnsiTheme="majorHAnsi"/>
          <w:sz w:val="24"/>
          <w:szCs w:val="24"/>
        </w:rPr>
        <w:t>e iniciarán los trámites para abandonar la Federación de Municipios de Cantabria (FMC), al entender que no cumple en estos momentos los fines para los que fue creada y se ha convertido en “un órgano de apoyo al Gobierno”.</w:t>
      </w:r>
    </w:p>
    <w:p w:rsidR="00BB4E10" w:rsidRDefault="00BB4E10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Los alcaldes creen que ese incumplimiento se ha evidenciado en el apoyo de esta institución a la decisión del Ejecutivo de acabar con el Fondo de Cooperación Municipal, con la que incluso “ha puesto en peligro la subsistencia de muchos ayuntamientos”, </w:t>
      </w:r>
      <w:r w:rsidR="006541F9">
        <w:rPr>
          <w:rFonts w:asciiTheme="majorHAnsi" w:hAnsiTheme="majorHAnsi"/>
          <w:sz w:val="24"/>
          <w:szCs w:val="24"/>
        </w:rPr>
        <w:t xml:space="preserve">en su “sumisión” ante la reducción de las ayudas a los municipios en 34 millones de euros, “sin tener en cuenta las consecuencias para los vecinos”, </w:t>
      </w:r>
      <w:r w:rsidR="004B3F5F">
        <w:rPr>
          <w:rFonts w:asciiTheme="majorHAnsi" w:hAnsiTheme="majorHAnsi"/>
          <w:sz w:val="24"/>
          <w:szCs w:val="24"/>
        </w:rPr>
        <w:t xml:space="preserve">y en la ausencia de </w:t>
      </w:r>
      <w:r>
        <w:rPr>
          <w:rFonts w:asciiTheme="majorHAnsi" w:hAnsiTheme="majorHAnsi"/>
          <w:sz w:val="24"/>
          <w:szCs w:val="24"/>
        </w:rPr>
        <w:t>“una defensa eficaz” de los intereses municipales en la modificación de la Ley de Régimen Local actualmente en marcha.</w:t>
      </w:r>
    </w:p>
    <w:p w:rsidR="006A2F2B" w:rsidRDefault="004B3F5F" w:rsidP="00BB4E10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Por </w:t>
      </w:r>
      <w:r w:rsidR="006541F9">
        <w:rPr>
          <w:rFonts w:asciiTheme="majorHAnsi" w:hAnsiTheme="majorHAnsi"/>
          <w:sz w:val="24"/>
          <w:szCs w:val="24"/>
        </w:rPr>
        <w:t xml:space="preserve">todo </w:t>
      </w:r>
      <w:r>
        <w:rPr>
          <w:rFonts w:asciiTheme="majorHAnsi" w:hAnsiTheme="majorHAnsi"/>
          <w:sz w:val="24"/>
          <w:szCs w:val="24"/>
        </w:rPr>
        <w:t>ello, consideran que</w:t>
      </w:r>
      <w:r w:rsidR="00BB4E10">
        <w:rPr>
          <w:rFonts w:asciiTheme="majorHAnsi" w:hAnsiTheme="majorHAnsi"/>
          <w:sz w:val="24"/>
          <w:szCs w:val="24"/>
        </w:rPr>
        <w:t xml:space="preserve"> la FMC no cumple los fines que le encomiendan </w:t>
      </w:r>
      <w:r>
        <w:rPr>
          <w:rFonts w:asciiTheme="majorHAnsi" w:hAnsiTheme="majorHAnsi"/>
          <w:sz w:val="24"/>
          <w:szCs w:val="24"/>
        </w:rPr>
        <w:t xml:space="preserve">sus </w:t>
      </w:r>
      <w:r w:rsidR="00BB4E10">
        <w:rPr>
          <w:rFonts w:asciiTheme="majorHAnsi" w:hAnsiTheme="majorHAnsi"/>
          <w:sz w:val="24"/>
          <w:szCs w:val="24"/>
        </w:rPr>
        <w:t>Estatutos, recogidos en el artículo 5 y entre los que figuran “la defensa y fomento de la autonomía local”, “la representación de los intereses de los municipios ante las instancias políticas y administrativas” y “procurar el mejor funcionamiento de los servicios públicos en el ámbito de la Comunidad Autónoma”.</w:t>
      </w:r>
    </w:p>
    <w:p w:rsidR="00BB4E10" w:rsidRDefault="004B3F5F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 su juicio, </w:t>
      </w:r>
      <w:r w:rsidR="00BB4E10">
        <w:rPr>
          <w:rFonts w:asciiTheme="majorHAnsi" w:hAnsiTheme="majorHAnsi"/>
          <w:sz w:val="24"/>
          <w:szCs w:val="24"/>
        </w:rPr>
        <w:t xml:space="preserve">la </w:t>
      </w:r>
      <w:r>
        <w:rPr>
          <w:rFonts w:asciiTheme="majorHAnsi" w:hAnsiTheme="majorHAnsi"/>
          <w:sz w:val="24"/>
          <w:szCs w:val="24"/>
        </w:rPr>
        <w:t xml:space="preserve">decisión aprobada en </w:t>
      </w:r>
      <w:r w:rsidR="00BB4E10">
        <w:rPr>
          <w:rFonts w:asciiTheme="majorHAnsi" w:hAnsiTheme="majorHAnsi"/>
          <w:sz w:val="24"/>
          <w:szCs w:val="24"/>
        </w:rPr>
        <w:t>la última Asamblea General</w:t>
      </w:r>
      <w:r>
        <w:rPr>
          <w:rFonts w:asciiTheme="majorHAnsi" w:hAnsiTheme="majorHAnsi"/>
          <w:sz w:val="24"/>
          <w:szCs w:val="24"/>
        </w:rPr>
        <w:t xml:space="preserve">, para secundar </w:t>
      </w:r>
      <w:r w:rsidR="00BB4E10">
        <w:rPr>
          <w:rFonts w:asciiTheme="majorHAnsi" w:hAnsiTheme="majorHAnsi"/>
          <w:sz w:val="24"/>
          <w:szCs w:val="24"/>
        </w:rPr>
        <w:t>la desaparición de los presupuestos de Cantabria de los 15,5 millones de euros hasta ahora destinados a la financiación de los ayuntamientos a través del Fondo de Cooperación Municipal</w:t>
      </w:r>
      <w:r>
        <w:rPr>
          <w:rFonts w:asciiTheme="majorHAnsi" w:hAnsiTheme="majorHAnsi"/>
          <w:sz w:val="24"/>
          <w:szCs w:val="24"/>
        </w:rPr>
        <w:t>,</w:t>
      </w:r>
      <w:r w:rsidR="00BB4E10">
        <w:rPr>
          <w:rFonts w:asciiTheme="majorHAnsi" w:hAnsiTheme="majorHAnsi"/>
          <w:sz w:val="24"/>
          <w:szCs w:val="24"/>
        </w:rPr>
        <w:t xml:space="preserve"> “atenta de manera clara y directa”</w:t>
      </w:r>
      <w:r w:rsidR="00CA3049">
        <w:rPr>
          <w:rFonts w:asciiTheme="majorHAnsi" w:hAnsiTheme="majorHAnsi"/>
          <w:sz w:val="24"/>
          <w:szCs w:val="24"/>
        </w:rPr>
        <w:t xml:space="preserve"> contra dichos fines y pone de manifiesto </w:t>
      </w:r>
      <w:r w:rsidR="00D66308">
        <w:rPr>
          <w:rFonts w:asciiTheme="majorHAnsi" w:hAnsiTheme="majorHAnsi"/>
          <w:sz w:val="24"/>
          <w:szCs w:val="24"/>
        </w:rPr>
        <w:t xml:space="preserve">la </w:t>
      </w:r>
      <w:r w:rsidR="00CA3049">
        <w:rPr>
          <w:rFonts w:asciiTheme="majorHAnsi" w:hAnsiTheme="majorHAnsi"/>
          <w:sz w:val="24"/>
          <w:szCs w:val="24"/>
        </w:rPr>
        <w:t>“politización”</w:t>
      </w:r>
      <w:r w:rsidR="00D66308">
        <w:rPr>
          <w:rFonts w:asciiTheme="majorHAnsi" w:hAnsiTheme="majorHAnsi"/>
          <w:sz w:val="24"/>
          <w:szCs w:val="24"/>
        </w:rPr>
        <w:t xml:space="preserve"> de esta institución, “a manos de la mayoría absoluta del Partido Popular”.</w:t>
      </w:r>
    </w:p>
    <w:p w:rsidR="00D66308" w:rsidRDefault="00D66308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En consecuencia, </w:t>
      </w:r>
      <w:r w:rsidR="004B3F5F">
        <w:rPr>
          <w:rFonts w:asciiTheme="majorHAnsi" w:hAnsiTheme="majorHAnsi"/>
          <w:sz w:val="24"/>
          <w:szCs w:val="24"/>
        </w:rPr>
        <w:t xml:space="preserve">entienden que </w:t>
      </w:r>
      <w:r>
        <w:rPr>
          <w:rFonts w:asciiTheme="majorHAnsi" w:hAnsiTheme="majorHAnsi"/>
          <w:sz w:val="24"/>
          <w:szCs w:val="24"/>
        </w:rPr>
        <w:t xml:space="preserve">la Federación </w:t>
      </w:r>
      <w:r w:rsidR="004B3F5F">
        <w:rPr>
          <w:rFonts w:asciiTheme="majorHAnsi" w:hAnsiTheme="majorHAnsi"/>
          <w:sz w:val="24"/>
          <w:szCs w:val="24"/>
        </w:rPr>
        <w:t xml:space="preserve">de Municipios ha incurrido en </w:t>
      </w:r>
      <w:r w:rsidR="006503C8">
        <w:rPr>
          <w:rFonts w:asciiTheme="majorHAnsi" w:hAnsiTheme="majorHAnsi"/>
          <w:sz w:val="24"/>
          <w:szCs w:val="24"/>
        </w:rPr>
        <w:t>“</w:t>
      </w:r>
      <w:r w:rsidR="004B3F5F">
        <w:rPr>
          <w:rFonts w:asciiTheme="majorHAnsi" w:hAnsiTheme="majorHAnsi"/>
          <w:sz w:val="24"/>
          <w:szCs w:val="24"/>
        </w:rPr>
        <w:t>un incumplimiento gravísimo</w:t>
      </w:r>
      <w:r w:rsidR="006503C8">
        <w:rPr>
          <w:rFonts w:asciiTheme="majorHAnsi" w:hAnsiTheme="majorHAnsi"/>
          <w:sz w:val="24"/>
          <w:szCs w:val="24"/>
        </w:rPr>
        <w:t xml:space="preserve"> </w:t>
      </w:r>
      <w:r w:rsidR="00390B9B">
        <w:rPr>
          <w:rFonts w:asciiTheme="majorHAnsi" w:hAnsiTheme="majorHAnsi"/>
          <w:sz w:val="24"/>
          <w:szCs w:val="24"/>
        </w:rPr>
        <w:t xml:space="preserve">de </w:t>
      </w:r>
      <w:r w:rsidR="006503C8">
        <w:rPr>
          <w:rFonts w:asciiTheme="majorHAnsi" w:hAnsiTheme="majorHAnsi"/>
          <w:sz w:val="24"/>
          <w:szCs w:val="24"/>
        </w:rPr>
        <w:t>sus fines y objetivos”</w:t>
      </w:r>
      <w:r w:rsidR="004B3F5F">
        <w:rPr>
          <w:rFonts w:asciiTheme="majorHAnsi" w:hAnsiTheme="majorHAnsi"/>
          <w:sz w:val="24"/>
          <w:szCs w:val="24"/>
        </w:rPr>
        <w:t xml:space="preserve">, que justifica “sobradamente” su salida, por lo que someterán tal decisión a la </w:t>
      </w:r>
      <w:r w:rsidR="006503C8">
        <w:rPr>
          <w:rFonts w:asciiTheme="majorHAnsi" w:hAnsiTheme="majorHAnsi"/>
          <w:sz w:val="24"/>
          <w:szCs w:val="24"/>
        </w:rPr>
        <w:t xml:space="preserve">aprobación de </w:t>
      </w:r>
      <w:r>
        <w:rPr>
          <w:rFonts w:asciiTheme="majorHAnsi" w:hAnsiTheme="majorHAnsi"/>
          <w:sz w:val="24"/>
          <w:szCs w:val="24"/>
        </w:rPr>
        <w:t xml:space="preserve">los plenos de sus respectos ayuntamientos, dado que </w:t>
      </w:r>
      <w:r w:rsidR="006503C8">
        <w:rPr>
          <w:rFonts w:asciiTheme="majorHAnsi" w:hAnsiTheme="majorHAnsi"/>
          <w:sz w:val="24"/>
          <w:szCs w:val="24"/>
        </w:rPr>
        <w:t>es el órgano competente</w:t>
      </w:r>
      <w:r>
        <w:rPr>
          <w:rFonts w:asciiTheme="majorHAnsi" w:hAnsiTheme="majorHAnsi"/>
          <w:sz w:val="24"/>
          <w:szCs w:val="24"/>
        </w:rPr>
        <w:t xml:space="preserve"> para</w:t>
      </w:r>
      <w:r w:rsidR="00390B9B">
        <w:rPr>
          <w:rFonts w:asciiTheme="majorHAnsi" w:hAnsiTheme="majorHAnsi"/>
          <w:sz w:val="24"/>
          <w:szCs w:val="24"/>
        </w:rPr>
        <w:t xml:space="preserve"> aprobarla</w:t>
      </w:r>
      <w:r>
        <w:rPr>
          <w:rFonts w:asciiTheme="majorHAnsi" w:hAnsiTheme="majorHAnsi"/>
          <w:sz w:val="24"/>
          <w:szCs w:val="24"/>
        </w:rPr>
        <w:t>.</w:t>
      </w:r>
    </w:p>
    <w:p w:rsidR="006503C8" w:rsidRDefault="006503C8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lastRenderedPageBreak/>
        <w:t>Asimismo, han acordado constituir una Comisión de Alcaldes, que será la encargada de determinar los pasos administrativos necesarios y de establecer el plazo de tiempo en que los acuerdos serán propuestos a los plenos municipales.</w:t>
      </w:r>
    </w:p>
    <w:p w:rsidR="006503C8" w:rsidRDefault="00390B9B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Además y dado que </w:t>
      </w:r>
      <w:r w:rsidR="006503C8">
        <w:rPr>
          <w:rFonts w:asciiTheme="majorHAnsi" w:hAnsiTheme="majorHAnsi"/>
          <w:sz w:val="24"/>
          <w:szCs w:val="24"/>
        </w:rPr>
        <w:t>los Estatutos de la FMC</w:t>
      </w:r>
      <w:r>
        <w:rPr>
          <w:rFonts w:asciiTheme="majorHAnsi" w:hAnsiTheme="majorHAnsi"/>
          <w:sz w:val="24"/>
          <w:szCs w:val="24"/>
        </w:rPr>
        <w:t xml:space="preserve"> establecen que </w:t>
      </w:r>
      <w:r w:rsidR="006503C8">
        <w:rPr>
          <w:rFonts w:asciiTheme="majorHAnsi" w:hAnsiTheme="majorHAnsi"/>
          <w:sz w:val="24"/>
          <w:szCs w:val="24"/>
        </w:rPr>
        <w:t>cualquier acuerdo de abandonar la institución tiene efectos desde el último día del año en el que se adopte, en este caso desde el 31 de diciembre de 2013</w:t>
      </w:r>
      <w:r>
        <w:rPr>
          <w:rFonts w:asciiTheme="majorHAnsi" w:hAnsiTheme="majorHAnsi"/>
          <w:sz w:val="24"/>
          <w:szCs w:val="24"/>
        </w:rPr>
        <w:t xml:space="preserve">, </w:t>
      </w:r>
      <w:r w:rsidR="006503C8">
        <w:rPr>
          <w:rFonts w:asciiTheme="majorHAnsi" w:hAnsiTheme="majorHAnsi"/>
          <w:sz w:val="24"/>
          <w:szCs w:val="24"/>
        </w:rPr>
        <w:t xml:space="preserve">los alcaldes regionalistas seguirán cumpliendo hasta esa fecha su </w:t>
      </w:r>
      <w:r w:rsidR="00FA74DC">
        <w:rPr>
          <w:rFonts w:asciiTheme="majorHAnsi" w:hAnsiTheme="majorHAnsi"/>
          <w:sz w:val="24"/>
          <w:szCs w:val="24"/>
        </w:rPr>
        <w:t xml:space="preserve">deber </w:t>
      </w:r>
      <w:r>
        <w:rPr>
          <w:rFonts w:asciiTheme="majorHAnsi" w:hAnsiTheme="majorHAnsi"/>
          <w:sz w:val="24"/>
          <w:szCs w:val="24"/>
        </w:rPr>
        <w:t xml:space="preserve">dentro de la organización, </w:t>
      </w:r>
      <w:r w:rsidR="00FA74DC">
        <w:rPr>
          <w:rFonts w:asciiTheme="majorHAnsi" w:hAnsiTheme="majorHAnsi"/>
          <w:sz w:val="24"/>
          <w:szCs w:val="24"/>
        </w:rPr>
        <w:t>a la que seguirán exigie</w:t>
      </w:r>
      <w:r>
        <w:rPr>
          <w:rFonts w:asciiTheme="majorHAnsi" w:hAnsiTheme="majorHAnsi"/>
          <w:sz w:val="24"/>
          <w:szCs w:val="24"/>
        </w:rPr>
        <w:t>ndo que cumpla los fines para lo</w:t>
      </w:r>
      <w:r w:rsidR="00FA74DC">
        <w:rPr>
          <w:rFonts w:asciiTheme="majorHAnsi" w:hAnsiTheme="majorHAnsi"/>
          <w:sz w:val="24"/>
          <w:szCs w:val="24"/>
        </w:rPr>
        <w:t xml:space="preserve">s que fue creada y que defienda “de forma efectiva y eficaz” los intereses de los ayuntamientos, incluidas </w:t>
      </w:r>
      <w:r w:rsidR="006B2586">
        <w:rPr>
          <w:rFonts w:asciiTheme="majorHAnsi" w:hAnsiTheme="majorHAnsi"/>
          <w:sz w:val="24"/>
          <w:szCs w:val="24"/>
        </w:rPr>
        <w:t>“</w:t>
      </w:r>
      <w:r w:rsidR="00FA74DC">
        <w:rPr>
          <w:rFonts w:asciiTheme="majorHAnsi" w:hAnsiTheme="majorHAnsi"/>
          <w:sz w:val="24"/>
          <w:szCs w:val="24"/>
        </w:rPr>
        <w:t xml:space="preserve">las </w:t>
      </w:r>
      <w:r w:rsidR="006B2586">
        <w:rPr>
          <w:rFonts w:asciiTheme="majorHAnsi" w:hAnsiTheme="majorHAnsi"/>
          <w:sz w:val="24"/>
          <w:szCs w:val="24"/>
        </w:rPr>
        <w:t>competencias y la financiación municipales en la modificación de la normativa sobre régimen local actualmente en trámite”.</w:t>
      </w:r>
    </w:p>
    <w:p w:rsidR="006B2586" w:rsidRDefault="00390B9B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En</w:t>
      </w:r>
      <w:r w:rsidR="006B2586">
        <w:rPr>
          <w:rFonts w:asciiTheme="majorHAnsi" w:hAnsiTheme="majorHAnsi"/>
          <w:sz w:val="24"/>
          <w:szCs w:val="24"/>
        </w:rPr>
        <w:t xml:space="preserve"> el último trimestre de 2013 analizarán la evolución de la FMC, “sobre todo en lo relativo a la defensa del Fondo de Cooperación Municipal, de una adecuada financiación de los ayuntamientos y del mantenimiento viable de las competencias básicas”.</w:t>
      </w:r>
    </w:p>
    <w:p w:rsidR="006541F9" w:rsidRDefault="006541F9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El PRC también ha decidido trasladar esta decisión a todos los ayuntamientos en los que cuenta con representación, a través de una moción.</w:t>
      </w:r>
    </w:p>
    <w:p w:rsidR="006B2586" w:rsidRDefault="006B2586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La reunión de esta tarde ha contado con la participación de </w:t>
      </w:r>
      <w:r w:rsidR="006541F9">
        <w:rPr>
          <w:rFonts w:asciiTheme="majorHAnsi" w:hAnsiTheme="majorHAnsi"/>
          <w:sz w:val="24"/>
          <w:szCs w:val="24"/>
        </w:rPr>
        <w:t xml:space="preserve">26 de los </w:t>
      </w:r>
      <w:r>
        <w:rPr>
          <w:rFonts w:asciiTheme="majorHAnsi" w:hAnsiTheme="majorHAnsi"/>
          <w:sz w:val="24"/>
          <w:szCs w:val="24"/>
        </w:rPr>
        <w:t xml:space="preserve">alcaldes </w:t>
      </w:r>
      <w:r w:rsidR="004B3F5F">
        <w:rPr>
          <w:rFonts w:asciiTheme="majorHAnsi" w:hAnsiTheme="majorHAnsi"/>
          <w:sz w:val="24"/>
          <w:szCs w:val="24"/>
        </w:rPr>
        <w:t xml:space="preserve">regionalistas, que gobiernan en </w:t>
      </w:r>
      <w:proofErr w:type="spellStart"/>
      <w:r w:rsidR="004B3F5F">
        <w:rPr>
          <w:rFonts w:asciiTheme="majorHAnsi" w:hAnsiTheme="majorHAnsi"/>
          <w:sz w:val="24"/>
          <w:szCs w:val="24"/>
        </w:rPr>
        <w:t>Anievas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Arenas de </w:t>
      </w:r>
      <w:proofErr w:type="spellStart"/>
      <w:r w:rsidR="004B3F5F">
        <w:rPr>
          <w:rFonts w:asciiTheme="majorHAnsi" w:hAnsiTheme="majorHAnsi"/>
          <w:sz w:val="24"/>
          <w:szCs w:val="24"/>
        </w:rPr>
        <w:t>Iguña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Arredondo, Bárcena de </w:t>
      </w:r>
      <w:proofErr w:type="spellStart"/>
      <w:r w:rsidR="004B3F5F">
        <w:rPr>
          <w:rFonts w:asciiTheme="majorHAnsi" w:hAnsiTheme="majorHAnsi"/>
          <w:sz w:val="24"/>
          <w:szCs w:val="24"/>
        </w:rPr>
        <w:t>Cicero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4B3F5F">
        <w:rPr>
          <w:rFonts w:asciiTheme="majorHAnsi" w:hAnsiTheme="majorHAnsi"/>
          <w:sz w:val="24"/>
          <w:szCs w:val="24"/>
        </w:rPr>
        <w:t>Bareyo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4B3F5F">
        <w:rPr>
          <w:rFonts w:asciiTheme="majorHAnsi" w:hAnsiTheme="majorHAnsi"/>
          <w:sz w:val="24"/>
          <w:szCs w:val="24"/>
        </w:rPr>
        <w:t>Camaleño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Campoo de </w:t>
      </w:r>
      <w:proofErr w:type="spellStart"/>
      <w:r w:rsidR="004B3F5F">
        <w:rPr>
          <w:rFonts w:asciiTheme="majorHAnsi" w:hAnsiTheme="majorHAnsi"/>
          <w:sz w:val="24"/>
          <w:szCs w:val="24"/>
        </w:rPr>
        <w:t>Yuso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Comillas, Guriezo, Hazas de Cesto, Herrerías, </w:t>
      </w:r>
      <w:proofErr w:type="spellStart"/>
      <w:r w:rsidR="004B3F5F">
        <w:rPr>
          <w:rFonts w:asciiTheme="majorHAnsi" w:hAnsiTheme="majorHAnsi"/>
          <w:sz w:val="24"/>
          <w:szCs w:val="24"/>
        </w:rPr>
        <w:t>Luena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Miera, Puente </w:t>
      </w:r>
      <w:proofErr w:type="spellStart"/>
      <w:r w:rsidR="004B3F5F">
        <w:rPr>
          <w:rFonts w:asciiTheme="majorHAnsi" w:hAnsiTheme="majorHAnsi"/>
          <w:sz w:val="24"/>
          <w:szCs w:val="24"/>
        </w:rPr>
        <w:t>Viesgo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Reinosa, </w:t>
      </w:r>
      <w:proofErr w:type="spellStart"/>
      <w:r w:rsidR="004B3F5F">
        <w:rPr>
          <w:rFonts w:asciiTheme="majorHAnsi" w:hAnsiTheme="majorHAnsi"/>
          <w:sz w:val="24"/>
          <w:szCs w:val="24"/>
        </w:rPr>
        <w:t>Ribamontán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 al Mar, </w:t>
      </w:r>
      <w:proofErr w:type="spellStart"/>
      <w:r w:rsidR="004B3F5F">
        <w:rPr>
          <w:rFonts w:asciiTheme="majorHAnsi" w:hAnsiTheme="majorHAnsi"/>
          <w:sz w:val="24"/>
          <w:szCs w:val="24"/>
        </w:rPr>
        <w:t>Ruesga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San Miguel de Aguayo, San Pedro del Romeral, San Roque de </w:t>
      </w:r>
      <w:proofErr w:type="spellStart"/>
      <w:r w:rsidR="004B3F5F">
        <w:rPr>
          <w:rFonts w:asciiTheme="majorHAnsi" w:hAnsiTheme="majorHAnsi"/>
          <w:sz w:val="24"/>
          <w:szCs w:val="24"/>
        </w:rPr>
        <w:t>Riomiera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</w:t>
      </w:r>
      <w:proofErr w:type="spellStart"/>
      <w:r w:rsidR="004B3F5F">
        <w:rPr>
          <w:rFonts w:asciiTheme="majorHAnsi" w:hAnsiTheme="majorHAnsi"/>
          <w:sz w:val="24"/>
          <w:szCs w:val="24"/>
        </w:rPr>
        <w:t>Santiurde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 de </w:t>
      </w:r>
      <w:proofErr w:type="spellStart"/>
      <w:r w:rsidR="004B3F5F">
        <w:rPr>
          <w:rFonts w:asciiTheme="majorHAnsi" w:hAnsiTheme="majorHAnsi"/>
          <w:sz w:val="24"/>
          <w:szCs w:val="24"/>
        </w:rPr>
        <w:t>Toranzo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Soba, Solórzano, </w:t>
      </w:r>
      <w:proofErr w:type="spellStart"/>
      <w:r w:rsidR="004B3F5F">
        <w:rPr>
          <w:rFonts w:asciiTheme="majorHAnsi" w:hAnsiTheme="majorHAnsi"/>
          <w:sz w:val="24"/>
          <w:szCs w:val="24"/>
        </w:rPr>
        <w:t>Valderredible</w:t>
      </w:r>
      <w:proofErr w:type="spellEnd"/>
      <w:r w:rsidR="004B3F5F">
        <w:rPr>
          <w:rFonts w:asciiTheme="majorHAnsi" w:hAnsiTheme="majorHAnsi"/>
          <w:sz w:val="24"/>
          <w:szCs w:val="24"/>
        </w:rPr>
        <w:t>, Valle de Villaverde y Villacarriedo.</w:t>
      </w:r>
      <w:r>
        <w:rPr>
          <w:rFonts w:asciiTheme="majorHAnsi" w:hAnsiTheme="majorHAnsi"/>
          <w:sz w:val="24"/>
          <w:szCs w:val="24"/>
        </w:rPr>
        <w:t xml:space="preserve"> </w:t>
      </w:r>
      <w:r w:rsidR="006541F9">
        <w:rPr>
          <w:rFonts w:asciiTheme="majorHAnsi" w:hAnsiTheme="majorHAnsi"/>
          <w:sz w:val="24"/>
          <w:szCs w:val="24"/>
        </w:rPr>
        <w:t xml:space="preserve">Los regidores de San Felices de </w:t>
      </w:r>
      <w:proofErr w:type="spellStart"/>
      <w:r w:rsidR="006541F9">
        <w:rPr>
          <w:rFonts w:asciiTheme="majorHAnsi" w:hAnsiTheme="majorHAnsi"/>
          <w:sz w:val="24"/>
          <w:szCs w:val="24"/>
        </w:rPr>
        <w:t>Buelna</w:t>
      </w:r>
      <w:proofErr w:type="spellEnd"/>
      <w:r w:rsidR="006541F9">
        <w:rPr>
          <w:rFonts w:asciiTheme="majorHAnsi" w:hAnsiTheme="majorHAnsi"/>
          <w:sz w:val="24"/>
          <w:szCs w:val="24"/>
        </w:rPr>
        <w:t xml:space="preserve">, Cabuérniga, Vega de Liébana y </w:t>
      </w:r>
      <w:proofErr w:type="spellStart"/>
      <w:r w:rsidR="006541F9">
        <w:rPr>
          <w:rFonts w:asciiTheme="majorHAnsi" w:hAnsiTheme="majorHAnsi"/>
          <w:sz w:val="24"/>
          <w:szCs w:val="24"/>
        </w:rPr>
        <w:t>Polaciones</w:t>
      </w:r>
      <w:proofErr w:type="spellEnd"/>
      <w:r w:rsidR="006541F9">
        <w:rPr>
          <w:rFonts w:asciiTheme="majorHAnsi" w:hAnsiTheme="majorHAnsi"/>
          <w:sz w:val="24"/>
          <w:szCs w:val="24"/>
        </w:rPr>
        <w:t xml:space="preserve"> no pudieron acudir por diversas razones, pero delegaron su voto a favor de la decisión aprobada.</w:t>
      </w:r>
    </w:p>
    <w:p w:rsidR="004B3F5F" w:rsidRDefault="006541F9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De los 30 ayuntamientos gobernados por el PRC, 20 </w:t>
      </w:r>
      <w:r w:rsidR="004B3F5F">
        <w:rPr>
          <w:rFonts w:asciiTheme="majorHAnsi" w:hAnsiTheme="majorHAnsi"/>
          <w:sz w:val="24"/>
          <w:szCs w:val="24"/>
        </w:rPr>
        <w:t>cuentan con mayoría absoluta</w:t>
      </w:r>
      <w:r>
        <w:rPr>
          <w:rFonts w:asciiTheme="majorHAnsi" w:hAnsiTheme="majorHAnsi"/>
          <w:sz w:val="24"/>
          <w:szCs w:val="24"/>
        </w:rPr>
        <w:t>. En los 10 restantes existen</w:t>
      </w:r>
      <w:r w:rsidR="004B3F5F">
        <w:rPr>
          <w:rFonts w:asciiTheme="majorHAnsi" w:hAnsiTheme="majorHAnsi"/>
          <w:sz w:val="24"/>
          <w:szCs w:val="24"/>
        </w:rPr>
        <w:t xml:space="preserve"> acuerdos con otras formaciones políticas (</w:t>
      </w:r>
      <w:proofErr w:type="spellStart"/>
      <w:r w:rsidR="004B3F5F">
        <w:rPr>
          <w:rFonts w:asciiTheme="majorHAnsi" w:hAnsiTheme="majorHAnsi"/>
          <w:sz w:val="24"/>
          <w:szCs w:val="24"/>
        </w:rPr>
        <w:t>Anievas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Arenas, Bárcena de </w:t>
      </w:r>
      <w:proofErr w:type="spellStart"/>
      <w:r w:rsidR="004B3F5F">
        <w:rPr>
          <w:rFonts w:asciiTheme="majorHAnsi" w:hAnsiTheme="majorHAnsi"/>
          <w:sz w:val="24"/>
          <w:szCs w:val="24"/>
        </w:rPr>
        <w:t>Cicero</w:t>
      </w:r>
      <w:proofErr w:type="spellEnd"/>
      <w:r w:rsidR="004B3F5F">
        <w:rPr>
          <w:rFonts w:asciiTheme="majorHAnsi" w:hAnsiTheme="majorHAnsi"/>
          <w:sz w:val="24"/>
          <w:szCs w:val="24"/>
        </w:rPr>
        <w:t xml:space="preserve">, Cabuérniga, </w:t>
      </w:r>
      <w:proofErr w:type="spellStart"/>
      <w:r w:rsidR="004B3F5F">
        <w:rPr>
          <w:rFonts w:asciiTheme="majorHAnsi" w:hAnsiTheme="majorHAnsi"/>
          <w:sz w:val="24"/>
          <w:szCs w:val="24"/>
        </w:rPr>
        <w:t>Camaleño</w:t>
      </w:r>
      <w:proofErr w:type="spellEnd"/>
      <w:r w:rsidR="004B3F5F">
        <w:rPr>
          <w:rFonts w:asciiTheme="majorHAnsi" w:hAnsiTheme="majorHAnsi"/>
          <w:sz w:val="24"/>
          <w:szCs w:val="24"/>
        </w:rPr>
        <w:t>, Comillas, Hazas de Ces</w:t>
      </w:r>
      <w:r w:rsidR="00390B9B">
        <w:rPr>
          <w:rFonts w:asciiTheme="majorHAnsi" w:hAnsiTheme="majorHAnsi"/>
          <w:sz w:val="24"/>
          <w:szCs w:val="24"/>
        </w:rPr>
        <w:t>t</w:t>
      </w:r>
      <w:r w:rsidR="004B3F5F">
        <w:rPr>
          <w:rFonts w:asciiTheme="majorHAnsi" w:hAnsiTheme="majorHAnsi"/>
          <w:sz w:val="24"/>
          <w:szCs w:val="24"/>
        </w:rPr>
        <w:t>o, Miera, Reinosa y Santiurde de Toranzo).</w:t>
      </w:r>
    </w:p>
    <w:p w:rsidR="00D66308" w:rsidRDefault="00D66308" w:rsidP="00CE4FDE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</w:t>
      </w:r>
    </w:p>
    <w:sectPr w:rsidR="00D66308" w:rsidSect="00FA2C77">
      <w:headerReference w:type="default" r:id="rId7"/>
      <w:footerReference w:type="default" r:id="rId8"/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36E9" w:rsidRDefault="00C236E9" w:rsidP="002B2811">
      <w:pPr>
        <w:spacing w:after="0" w:line="240" w:lineRule="auto"/>
      </w:pPr>
      <w:r>
        <w:separator/>
      </w:r>
    </w:p>
  </w:endnote>
  <w:endnote w:type="continuationSeparator" w:id="0">
    <w:p w:rsidR="00C236E9" w:rsidRDefault="00C236E9" w:rsidP="002B2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F5F" w:rsidRDefault="004B3F5F">
    <w:pPr>
      <w:pStyle w:val="Piedepgina"/>
    </w:pPr>
    <w:r>
      <w:rPr>
        <w:noProof/>
        <w:lang w:eastAsia="es-ES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-1127760</wp:posOffset>
          </wp:positionH>
          <wp:positionV relativeFrom="paragraph">
            <wp:posOffset>-556260</wp:posOffset>
          </wp:positionV>
          <wp:extent cx="7637145" cy="1171575"/>
          <wp:effectExtent l="19050" t="0" r="1905" b="0"/>
          <wp:wrapNone/>
          <wp:docPr id="2" name="1 Imagen" descr="pie-gabinete-prens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e-gabinete-prens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7145" cy="117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36E9" w:rsidRDefault="00C236E9" w:rsidP="002B2811">
      <w:pPr>
        <w:spacing w:after="0" w:line="240" w:lineRule="auto"/>
      </w:pPr>
      <w:r>
        <w:separator/>
      </w:r>
    </w:p>
  </w:footnote>
  <w:footnote w:type="continuationSeparator" w:id="0">
    <w:p w:rsidR="00C236E9" w:rsidRDefault="00C236E9" w:rsidP="002B2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3F5F" w:rsidRDefault="004B3F5F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-1003935</wp:posOffset>
          </wp:positionH>
          <wp:positionV relativeFrom="paragraph">
            <wp:posOffset>-440055</wp:posOffset>
          </wp:positionV>
          <wp:extent cx="7448550" cy="1104900"/>
          <wp:effectExtent l="19050" t="0" r="0" b="0"/>
          <wp:wrapNone/>
          <wp:docPr id="1" name="0 Imagen" descr="encabezado-gabinete-prens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cabezado-gabinete-prensa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48550" cy="11049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7E4BA8"/>
    <w:multiLevelType w:val="hybridMultilevel"/>
    <w:tmpl w:val="0DE67B4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E0243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2B2811"/>
    <w:rsid w:val="000636FB"/>
    <w:rsid w:val="000A732F"/>
    <w:rsid w:val="000C1AE6"/>
    <w:rsid w:val="001B79EC"/>
    <w:rsid w:val="002A531B"/>
    <w:rsid w:val="002B2811"/>
    <w:rsid w:val="002D153F"/>
    <w:rsid w:val="003310DF"/>
    <w:rsid w:val="0035498C"/>
    <w:rsid w:val="00390B9B"/>
    <w:rsid w:val="00437577"/>
    <w:rsid w:val="00495854"/>
    <w:rsid w:val="004B3F5F"/>
    <w:rsid w:val="004C4166"/>
    <w:rsid w:val="005B079C"/>
    <w:rsid w:val="006503C8"/>
    <w:rsid w:val="006541F9"/>
    <w:rsid w:val="006A2F2B"/>
    <w:rsid w:val="006B2586"/>
    <w:rsid w:val="00701330"/>
    <w:rsid w:val="00714BFD"/>
    <w:rsid w:val="00753FD4"/>
    <w:rsid w:val="00764B85"/>
    <w:rsid w:val="007A1C2C"/>
    <w:rsid w:val="007F762F"/>
    <w:rsid w:val="00A431C1"/>
    <w:rsid w:val="00A62710"/>
    <w:rsid w:val="00BB4E10"/>
    <w:rsid w:val="00C236E9"/>
    <w:rsid w:val="00CA3049"/>
    <w:rsid w:val="00CE4FDE"/>
    <w:rsid w:val="00CF7815"/>
    <w:rsid w:val="00D66308"/>
    <w:rsid w:val="00DD0A28"/>
    <w:rsid w:val="00E870D3"/>
    <w:rsid w:val="00F65093"/>
    <w:rsid w:val="00F6657D"/>
    <w:rsid w:val="00FA2C77"/>
    <w:rsid w:val="00FA74DC"/>
    <w:rsid w:val="00FF64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A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2B28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B2811"/>
  </w:style>
  <w:style w:type="paragraph" w:styleId="Piedepgina">
    <w:name w:val="footer"/>
    <w:basedOn w:val="Normal"/>
    <w:link w:val="PiedepginaCar"/>
    <w:uiPriority w:val="99"/>
    <w:semiHidden/>
    <w:unhideWhenUsed/>
    <w:rsid w:val="002B281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B2811"/>
  </w:style>
  <w:style w:type="paragraph" w:styleId="Textodeglobo">
    <w:name w:val="Balloon Text"/>
    <w:basedOn w:val="Normal"/>
    <w:link w:val="TextodegloboCar"/>
    <w:uiPriority w:val="99"/>
    <w:semiHidden/>
    <w:unhideWhenUsed/>
    <w:rsid w:val="002B2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281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04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690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Iván</dc:creator>
  <cp:lastModifiedBy>inma</cp:lastModifiedBy>
  <cp:revision>6</cp:revision>
  <cp:lastPrinted>2012-09-20T11:30:00Z</cp:lastPrinted>
  <dcterms:created xsi:type="dcterms:W3CDTF">2013-01-30T11:09:00Z</dcterms:created>
  <dcterms:modified xsi:type="dcterms:W3CDTF">2013-01-30T19:17:00Z</dcterms:modified>
</cp:coreProperties>
</file>